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FA99" w14:textId="77777777" w:rsidR="00662A08" w:rsidRPr="009411B9" w:rsidRDefault="00662A08" w:rsidP="00662A08">
      <w:pPr>
        <w:spacing w:after="200" w:line="276" w:lineRule="auto"/>
        <w:jc w:val="right"/>
        <w:rPr>
          <w:rFonts w:asciiTheme="minorHAnsi" w:eastAsia="Calibri" w:hAnsiTheme="minorHAnsi" w:cstheme="minorHAnsi"/>
          <w:b/>
          <w:bCs/>
          <w:sz w:val="22"/>
          <w:szCs w:val="22"/>
          <w:lang w:val="en-IN"/>
        </w:rPr>
      </w:pPr>
      <w:r w:rsidRPr="009411B9">
        <w:rPr>
          <w:rFonts w:asciiTheme="minorHAnsi" w:eastAsia="Calibri" w:hAnsiTheme="minorHAnsi" w:cstheme="minorHAnsi"/>
          <w:b/>
          <w:bCs/>
          <w:sz w:val="22"/>
          <w:szCs w:val="22"/>
          <w:lang w:val="en-IN"/>
        </w:rPr>
        <w:t xml:space="preserve">Annexure D </w:t>
      </w:r>
    </w:p>
    <w:p w14:paraId="17B18ABD" w14:textId="77777777" w:rsidR="00662A08" w:rsidRDefault="00662A08" w:rsidP="00662A08">
      <w:pPr>
        <w:spacing w:after="200" w:line="276" w:lineRule="auto"/>
        <w:jc w:val="both"/>
        <w:rPr>
          <w:rFonts w:asciiTheme="minorHAnsi" w:eastAsia="Calibri" w:hAnsiTheme="minorHAnsi" w:cstheme="minorHAnsi"/>
          <w:b/>
          <w:bCs/>
          <w:sz w:val="22"/>
          <w:szCs w:val="22"/>
          <w:lang w:val="en-IN"/>
        </w:rPr>
      </w:pPr>
      <w:r w:rsidRPr="009411B9">
        <w:rPr>
          <w:rFonts w:asciiTheme="minorHAnsi" w:eastAsia="Calibri" w:hAnsiTheme="minorHAnsi" w:cstheme="minorHAnsi"/>
          <w:b/>
          <w:bCs/>
          <w:sz w:val="22"/>
          <w:szCs w:val="22"/>
          <w:lang w:val="en-IN"/>
        </w:rPr>
        <w:t xml:space="preserve">The following penalty/disciplinary actions as provided in Table A would be initiated against the Trading Member for Delay/Non-submission of Preliminary Audit Report and Corrective Action Taken Report. </w:t>
      </w:r>
    </w:p>
    <w:p w14:paraId="11242F42" w14:textId="77777777" w:rsidR="00662A08" w:rsidRPr="009411B9" w:rsidRDefault="00662A08" w:rsidP="00662A08">
      <w:pPr>
        <w:spacing w:after="200" w:line="276" w:lineRule="auto"/>
        <w:jc w:val="both"/>
        <w:rPr>
          <w:rFonts w:asciiTheme="minorHAnsi" w:eastAsia="Calibri" w:hAnsiTheme="minorHAnsi" w:cstheme="minorHAnsi"/>
          <w:b/>
          <w:bCs/>
          <w:sz w:val="22"/>
          <w:szCs w:val="22"/>
          <w:lang w:val="en-IN"/>
        </w:rPr>
      </w:pPr>
      <w:r w:rsidRPr="009411B9">
        <w:rPr>
          <w:rFonts w:asciiTheme="minorHAnsi" w:eastAsia="Calibri" w:hAnsiTheme="minorHAnsi" w:cstheme="minorHAnsi"/>
          <w:b/>
          <w:bCs/>
          <w:sz w:val="22"/>
          <w:szCs w:val="22"/>
          <w:lang w:val="en-IN"/>
        </w:rPr>
        <w:t>Table – A</w:t>
      </w:r>
    </w:p>
    <w:tbl>
      <w:tblPr>
        <w:tblStyle w:val="TableGrid"/>
        <w:tblW w:w="0" w:type="auto"/>
        <w:tblLook w:val="04A0" w:firstRow="1" w:lastRow="0" w:firstColumn="1" w:lastColumn="0" w:noHBand="0" w:noVBand="1"/>
      </w:tblPr>
      <w:tblGrid>
        <w:gridCol w:w="2524"/>
        <w:gridCol w:w="2524"/>
        <w:gridCol w:w="2524"/>
        <w:gridCol w:w="2524"/>
      </w:tblGrid>
      <w:tr w:rsidR="00662A08" w14:paraId="520BA585" w14:textId="77777777" w:rsidTr="00875A66">
        <w:tc>
          <w:tcPr>
            <w:tcW w:w="2524" w:type="dxa"/>
          </w:tcPr>
          <w:p w14:paraId="3435AC1A" w14:textId="77777777" w:rsidR="00662A08"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Details of Violation</w:t>
            </w:r>
          </w:p>
        </w:tc>
        <w:tc>
          <w:tcPr>
            <w:tcW w:w="2524" w:type="dxa"/>
          </w:tcPr>
          <w:p w14:paraId="0A1832F9" w14:textId="77777777" w:rsidR="00662A08"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Period of violation</w:t>
            </w:r>
          </w:p>
        </w:tc>
        <w:tc>
          <w:tcPr>
            <w:tcW w:w="2524" w:type="dxa"/>
          </w:tcPr>
          <w:p w14:paraId="5D681F8C" w14:textId="77777777" w:rsidR="00662A08"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Penalty/disciplinary actions</w:t>
            </w:r>
          </w:p>
        </w:tc>
        <w:tc>
          <w:tcPr>
            <w:tcW w:w="2524" w:type="dxa"/>
          </w:tcPr>
          <w:p w14:paraId="7E8F1453" w14:textId="77777777" w:rsidR="00662A08"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Penalty/disciplinary action in case of repeated violation</w:t>
            </w:r>
          </w:p>
        </w:tc>
      </w:tr>
      <w:tr w:rsidR="00662A08" w14:paraId="2375CFD5" w14:textId="77777777" w:rsidTr="00875A66">
        <w:tc>
          <w:tcPr>
            <w:tcW w:w="2524" w:type="dxa"/>
            <w:tcBorders>
              <w:bottom w:val="nil"/>
            </w:tcBorders>
          </w:tcPr>
          <w:p w14:paraId="23D9B26A" w14:textId="77777777" w:rsidR="00662A08" w:rsidRPr="002A6505"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Delay /Non- Submission of Preliminary audit</w:t>
            </w:r>
          </w:p>
          <w:p w14:paraId="719E50D7" w14:textId="77777777" w:rsidR="00662A08" w:rsidRPr="002A6505"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/Corrective Action Taken Report.</w:t>
            </w:r>
          </w:p>
          <w:p w14:paraId="61903B1E" w14:textId="77777777" w:rsidR="00662A08" w:rsidRDefault="00662A08" w:rsidP="00875A66">
            <w:pPr>
              <w:spacing w:after="200" w:line="276" w:lineRule="auto"/>
              <w:jc w:val="both"/>
              <w:rPr>
                <w:rFonts w:asciiTheme="minorHAnsi" w:eastAsia="Calibri" w:hAnsiTheme="minorHAnsi" w:cstheme="minorHAnsi"/>
                <w:b/>
                <w:bCs/>
              </w:rPr>
            </w:pPr>
            <w:r w:rsidRPr="002A6505">
              <w:rPr>
                <w:rFonts w:asciiTheme="minorHAnsi" w:eastAsia="Calibri" w:hAnsiTheme="minorHAnsi" w:cstheme="minorHAnsi"/>
                <w:b/>
                <w:bCs/>
              </w:rPr>
              <w:t>Tag – Material</w:t>
            </w:r>
          </w:p>
        </w:tc>
        <w:tc>
          <w:tcPr>
            <w:tcW w:w="2524" w:type="dxa"/>
          </w:tcPr>
          <w:p w14:paraId="7538E734"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From 1st day to 7th day:</w:t>
            </w:r>
          </w:p>
        </w:tc>
        <w:tc>
          <w:tcPr>
            <w:tcW w:w="2524" w:type="dxa"/>
          </w:tcPr>
          <w:p w14:paraId="230AB904"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Charges Rs. 1,500/- per day for Non QSB &amp; Rs. 3,000/- per day for QSB from the due date till first 7 calendar days or submission of report,</w:t>
            </w:r>
          </w:p>
          <w:p w14:paraId="6D68A37F"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whichever is earlier.</w:t>
            </w:r>
          </w:p>
        </w:tc>
        <w:tc>
          <w:tcPr>
            <w:tcW w:w="2524" w:type="dxa"/>
          </w:tcPr>
          <w:p w14:paraId="62551F31"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2nd Time and Onwards.</w:t>
            </w:r>
          </w:p>
          <w:p w14:paraId="769A95E8"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Levy of applicable monetary penalty along with an escalation of 50%.</w:t>
            </w:r>
          </w:p>
        </w:tc>
      </w:tr>
      <w:tr w:rsidR="00662A08" w14:paraId="1B2F6AF0" w14:textId="77777777" w:rsidTr="00875A66">
        <w:tc>
          <w:tcPr>
            <w:tcW w:w="2524" w:type="dxa"/>
            <w:tcBorders>
              <w:top w:val="nil"/>
              <w:bottom w:val="nil"/>
            </w:tcBorders>
          </w:tcPr>
          <w:p w14:paraId="79B2DD3E" w14:textId="77777777" w:rsidR="00662A08" w:rsidRDefault="00662A08" w:rsidP="00875A66">
            <w:pPr>
              <w:spacing w:after="200" w:line="276" w:lineRule="auto"/>
              <w:jc w:val="center"/>
              <w:rPr>
                <w:rFonts w:asciiTheme="minorHAnsi" w:eastAsia="Calibri" w:hAnsiTheme="minorHAnsi" w:cstheme="minorHAnsi"/>
                <w:b/>
                <w:bCs/>
              </w:rPr>
            </w:pPr>
          </w:p>
        </w:tc>
        <w:tc>
          <w:tcPr>
            <w:tcW w:w="2524" w:type="dxa"/>
          </w:tcPr>
          <w:p w14:paraId="5DDE7C92"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From 8th day to 21st day:</w:t>
            </w:r>
          </w:p>
        </w:tc>
        <w:tc>
          <w:tcPr>
            <w:tcW w:w="2524" w:type="dxa"/>
          </w:tcPr>
          <w:p w14:paraId="3B5DE05B"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Charges of Rs. 2,500/- per day for Non QSB &amp; Rs. 5,000/- per day for QSB from 8th calendar day after the due date to 21st calendar day or submission of report, whichever is earlier.</w:t>
            </w:r>
          </w:p>
        </w:tc>
        <w:tc>
          <w:tcPr>
            <w:tcW w:w="2524" w:type="dxa"/>
          </w:tcPr>
          <w:p w14:paraId="1B74CB71"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2nd Time and Onwards. Levy of</w:t>
            </w:r>
          </w:p>
          <w:p w14:paraId="6AAD735B"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Applicable monetary penalty along with an escalation of 50%.</w:t>
            </w:r>
          </w:p>
        </w:tc>
      </w:tr>
      <w:tr w:rsidR="00662A08" w14:paraId="535296B8" w14:textId="77777777" w:rsidTr="00875A66">
        <w:tc>
          <w:tcPr>
            <w:tcW w:w="2524" w:type="dxa"/>
            <w:tcBorders>
              <w:top w:val="nil"/>
              <w:bottom w:val="nil"/>
            </w:tcBorders>
          </w:tcPr>
          <w:p w14:paraId="05263CDA" w14:textId="77777777" w:rsidR="00662A08" w:rsidRDefault="00662A08" w:rsidP="00875A66">
            <w:pPr>
              <w:spacing w:after="200" w:line="276" w:lineRule="auto"/>
              <w:jc w:val="both"/>
              <w:rPr>
                <w:rFonts w:asciiTheme="minorHAnsi" w:eastAsia="Calibri" w:hAnsiTheme="minorHAnsi" w:cstheme="minorHAnsi"/>
                <w:b/>
                <w:bCs/>
              </w:rPr>
            </w:pPr>
          </w:p>
        </w:tc>
        <w:tc>
          <w:tcPr>
            <w:tcW w:w="2524" w:type="dxa"/>
          </w:tcPr>
          <w:p w14:paraId="26F92B7F"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From 22nd day onwards:</w:t>
            </w:r>
          </w:p>
        </w:tc>
        <w:tc>
          <w:tcPr>
            <w:tcW w:w="5048" w:type="dxa"/>
            <w:gridSpan w:val="2"/>
          </w:tcPr>
          <w:p w14:paraId="400678BC"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In case of non-submission of report till 21st calendar days, new client registration shall be prohibited and notice of 7 calendar days for disablement of trading facility till submission of report, shall be issued. The disablement notice issued to the Trading Member will be shared with all the Exchanges for information.</w:t>
            </w:r>
          </w:p>
        </w:tc>
      </w:tr>
      <w:tr w:rsidR="00662A08" w14:paraId="721434BD" w14:textId="77777777" w:rsidTr="00875A66">
        <w:tc>
          <w:tcPr>
            <w:tcW w:w="2524" w:type="dxa"/>
            <w:tcBorders>
              <w:top w:val="nil"/>
              <w:bottom w:val="single" w:sz="4" w:space="0" w:color="auto"/>
            </w:tcBorders>
          </w:tcPr>
          <w:p w14:paraId="226CE331" w14:textId="77777777" w:rsidR="00662A08" w:rsidRDefault="00662A08" w:rsidP="00875A66">
            <w:pPr>
              <w:spacing w:after="200" w:line="276" w:lineRule="auto"/>
              <w:jc w:val="both"/>
              <w:rPr>
                <w:rFonts w:asciiTheme="minorHAnsi" w:eastAsia="Calibri" w:hAnsiTheme="minorHAnsi" w:cstheme="minorHAnsi"/>
                <w:b/>
                <w:bCs/>
              </w:rPr>
            </w:pPr>
          </w:p>
        </w:tc>
        <w:tc>
          <w:tcPr>
            <w:tcW w:w="2524" w:type="dxa"/>
          </w:tcPr>
          <w:p w14:paraId="46549A2E"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After 28th day:</w:t>
            </w:r>
          </w:p>
        </w:tc>
        <w:tc>
          <w:tcPr>
            <w:tcW w:w="5048" w:type="dxa"/>
            <w:gridSpan w:val="2"/>
          </w:tcPr>
          <w:p w14:paraId="36ABA636" w14:textId="77777777" w:rsidR="00662A08" w:rsidRPr="00601151" w:rsidRDefault="00662A08" w:rsidP="00875A66">
            <w:pPr>
              <w:spacing w:after="200" w:line="276" w:lineRule="auto"/>
              <w:jc w:val="both"/>
              <w:rPr>
                <w:rFonts w:asciiTheme="minorHAnsi" w:eastAsia="Calibri" w:hAnsiTheme="minorHAnsi" w:cstheme="minorHAnsi"/>
              </w:rPr>
            </w:pPr>
            <w:r w:rsidRPr="00601151">
              <w:rPr>
                <w:rFonts w:asciiTheme="minorHAnsi" w:eastAsia="Calibri" w:hAnsiTheme="minorHAnsi" w:cstheme="minorHAnsi"/>
              </w:rPr>
              <w:t>In case of non-submission of report by 28th calendar day, Trading Member shall be disabled in all segments till submission of report.</w:t>
            </w:r>
          </w:p>
        </w:tc>
      </w:tr>
    </w:tbl>
    <w:p w14:paraId="0C382FAC" w14:textId="77777777" w:rsidR="00662A08" w:rsidRDefault="00662A08" w:rsidP="00662A08">
      <w:pPr>
        <w:spacing w:after="200" w:line="276" w:lineRule="auto"/>
        <w:jc w:val="both"/>
        <w:rPr>
          <w:rFonts w:asciiTheme="minorHAnsi" w:eastAsia="Calibri" w:hAnsiTheme="minorHAnsi" w:cstheme="minorHAnsi"/>
          <w:b/>
          <w:bCs/>
          <w:sz w:val="22"/>
          <w:szCs w:val="22"/>
        </w:rPr>
      </w:pPr>
    </w:p>
    <w:p w14:paraId="39250E1F" w14:textId="77777777" w:rsidR="00145C95" w:rsidRDefault="00145C95" w:rsidP="00662A08">
      <w:pPr>
        <w:spacing w:after="200" w:line="276" w:lineRule="auto"/>
        <w:jc w:val="both"/>
        <w:rPr>
          <w:rFonts w:asciiTheme="minorHAnsi" w:eastAsia="Calibri" w:hAnsiTheme="minorHAnsi" w:cstheme="minorHAnsi"/>
          <w:b/>
          <w:bCs/>
          <w:sz w:val="22"/>
          <w:szCs w:val="22"/>
        </w:rPr>
      </w:pPr>
    </w:p>
    <w:p w14:paraId="35888E8C" w14:textId="77777777" w:rsidR="00145C95" w:rsidRDefault="00145C95" w:rsidP="00662A08">
      <w:pPr>
        <w:spacing w:after="200" w:line="276" w:lineRule="auto"/>
        <w:jc w:val="both"/>
        <w:rPr>
          <w:rFonts w:asciiTheme="minorHAnsi" w:eastAsia="Calibri" w:hAnsiTheme="minorHAnsi" w:cstheme="minorHAnsi"/>
          <w:b/>
          <w:bCs/>
          <w:sz w:val="22"/>
          <w:szCs w:val="22"/>
        </w:rPr>
      </w:pPr>
    </w:p>
    <w:p w14:paraId="4730A41D" w14:textId="77777777" w:rsidR="00145C95" w:rsidRDefault="00145C95" w:rsidP="00662A08">
      <w:pPr>
        <w:spacing w:after="200" w:line="276" w:lineRule="auto"/>
        <w:jc w:val="both"/>
        <w:rPr>
          <w:rFonts w:asciiTheme="minorHAnsi" w:eastAsia="Calibri" w:hAnsiTheme="minorHAnsi" w:cstheme="minorHAnsi"/>
          <w:b/>
          <w:bCs/>
          <w:sz w:val="22"/>
          <w:szCs w:val="22"/>
        </w:rPr>
      </w:pPr>
    </w:p>
    <w:p w14:paraId="271F6D27" w14:textId="77777777" w:rsidR="00145C95" w:rsidRDefault="00145C95" w:rsidP="00662A08">
      <w:pPr>
        <w:spacing w:after="200" w:line="276" w:lineRule="auto"/>
        <w:jc w:val="both"/>
        <w:rPr>
          <w:rFonts w:asciiTheme="minorHAnsi" w:eastAsia="Calibri" w:hAnsiTheme="minorHAnsi" w:cstheme="minorHAnsi"/>
          <w:b/>
          <w:bCs/>
          <w:sz w:val="22"/>
          <w:szCs w:val="22"/>
        </w:rPr>
      </w:pPr>
    </w:p>
    <w:p w14:paraId="62899A72" w14:textId="77777777" w:rsidR="00662A08" w:rsidRDefault="00662A08" w:rsidP="00662A08">
      <w:pPr>
        <w:spacing w:after="200" w:line="276" w:lineRule="auto"/>
        <w:jc w:val="both"/>
        <w:rPr>
          <w:rFonts w:asciiTheme="minorHAnsi" w:eastAsia="Calibri" w:hAnsiTheme="minorHAnsi" w:cstheme="minorHAnsi"/>
          <w:b/>
          <w:bCs/>
          <w:sz w:val="22"/>
          <w:szCs w:val="22"/>
          <w:lang w:val="en-IN"/>
        </w:rPr>
      </w:pPr>
      <w:r w:rsidRPr="002A6505">
        <w:rPr>
          <w:rFonts w:asciiTheme="minorHAnsi" w:eastAsia="Calibri" w:hAnsiTheme="minorHAnsi" w:cstheme="minorHAnsi"/>
          <w:b/>
          <w:bCs/>
          <w:sz w:val="22"/>
          <w:szCs w:val="22"/>
          <w:lang w:val="en-IN"/>
        </w:rPr>
        <w:t xml:space="preserve">Further, trading members are also required to submit closure status of all the non-Compliances reported in Cyber Audit by submitting Corrective Action Taken Report (ATR) i.e., within 3 months from the due date of submission of Preliminary Audit Report. In order to ensure strict adherence for closure of non-Compliances within the prescribed timelines, following penalty as provided in Table - B shall be Applicable for each High/Medium/Low risk non-compliance, which has not been closed in ATR as per prescribed timelines. </w:t>
      </w:r>
    </w:p>
    <w:p w14:paraId="53F6F3C2" w14:textId="77777777" w:rsidR="00662A08" w:rsidRPr="002A6505" w:rsidRDefault="00662A08" w:rsidP="00662A08">
      <w:pPr>
        <w:spacing w:after="200" w:line="276" w:lineRule="auto"/>
        <w:jc w:val="both"/>
        <w:rPr>
          <w:rFonts w:asciiTheme="minorHAnsi" w:eastAsia="Calibri" w:hAnsiTheme="minorHAnsi" w:cstheme="minorHAnsi"/>
          <w:b/>
          <w:bCs/>
          <w:sz w:val="22"/>
          <w:szCs w:val="22"/>
          <w:lang w:val="en-IN"/>
        </w:rPr>
      </w:pPr>
      <w:r w:rsidRPr="002A6505">
        <w:rPr>
          <w:rFonts w:asciiTheme="minorHAnsi" w:eastAsia="Calibri" w:hAnsiTheme="minorHAnsi" w:cstheme="minorHAnsi"/>
          <w:b/>
          <w:bCs/>
          <w:sz w:val="22"/>
          <w:szCs w:val="22"/>
          <w:lang w:val="en-IN"/>
        </w:rPr>
        <w:t>Table – B</w:t>
      </w:r>
    </w:p>
    <w:tbl>
      <w:tblPr>
        <w:tblStyle w:val="TableGrid"/>
        <w:tblW w:w="0" w:type="auto"/>
        <w:tblLook w:val="04A0" w:firstRow="1" w:lastRow="0" w:firstColumn="1" w:lastColumn="0" w:noHBand="0" w:noVBand="1"/>
      </w:tblPr>
      <w:tblGrid>
        <w:gridCol w:w="3365"/>
        <w:gridCol w:w="3365"/>
        <w:gridCol w:w="3366"/>
      </w:tblGrid>
      <w:tr w:rsidR="00662A08" w14:paraId="475327E8" w14:textId="77777777" w:rsidTr="00875A66">
        <w:tc>
          <w:tcPr>
            <w:tcW w:w="3365" w:type="dxa"/>
            <w:vMerge w:val="restart"/>
          </w:tcPr>
          <w:p w14:paraId="43F24C57" w14:textId="77777777" w:rsidR="00662A08" w:rsidRDefault="00662A08" w:rsidP="00875A66">
            <w:pPr>
              <w:spacing w:after="200" w:line="276" w:lineRule="auto"/>
              <w:jc w:val="both"/>
              <w:rPr>
                <w:rFonts w:asciiTheme="minorHAnsi" w:eastAsia="Calibri" w:hAnsiTheme="minorHAnsi" w:cstheme="minorHAnsi"/>
                <w:b/>
                <w:bCs/>
              </w:rPr>
            </w:pPr>
            <w:r w:rsidRPr="00601151">
              <w:rPr>
                <w:rFonts w:asciiTheme="minorHAnsi" w:eastAsia="Calibri" w:hAnsiTheme="minorHAnsi" w:cstheme="minorHAnsi"/>
                <w:b/>
                <w:bCs/>
              </w:rPr>
              <w:t>Risk rating reported by auditor</w:t>
            </w:r>
          </w:p>
        </w:tc>
        <w:tc>
          <w:tcPr>
            <w:tcW w:w="6731" w:type="dxa"/>
            <w:gridSpan w:val="2"/>
          </w:tcPr>
          <w:p w14:paraId="416790E7" w14:textId="77777777" w:rsidR="00662A08" w:rsidRPr="00601151" w:rsidRDefault="00662A08" w:rsidP="00875A66">
            <w:pPr>
              <w:spacing w:after="200" w:line="276" w:lineRule="auto"/>
              <w:jc w:val="both"/>
              <w:rPr>
                <w:rFonts w:asciiTheme="minorHAnsi" w:eastAsia="Calibri" w:hAnsiTheme="minorHAnsi" w:cstheme="minorHAnsi"/>
                <w:b/>
                <w:bCs/>
              </w:rPr>
            </w:pPr>
            <w:r w:rsidRPr="00601151">
              <w:rPr>
                <w:rFonts w:asciiTheme="minorHAnsi" w:eastAsia="Calibri" w:hAnsiTheme="minorHAnsi" w:cstheme="minorHAnsi"/>
                <w:b/>
                <w:bCs/>
              </w:rPr>
              <w:t>Applicable penalties for each High/Medium/Low risk non-closure of non- Compliances, which have not been closed in ATR (i.e., within prescribed timelines of submission of due date of preliminary audit report)</w:t>
            </w:r>
          </w:p>
          <w:p w14:paraId="3D2ECBF4" w14:textId="77777777" w:rsidR="00662A08" w:rsidRDefault="00662A08" w:rsidP="00875A66">
            <w:pPr>
              <w:spacing w:after="200" w:line="276" w:lineRule="auto"/>
              <w:jc w:val="both"/>
              <w:rPr>
                <w:rFonts w:asciiTheme="minorHAnsi" w:eastAsia="Calibri" w:hAnsiTheme="minorHAnsi" w:cstheme="minorHAnsi"/>
                <w:b/>
                <w:bCs/>
              </w:rPr>
            </w:pPr>
            <w:r w:rsidRPr="00601151">
              <w:rPr>
                <w:rFonts w:asciiTheme="minorHAnsi" w:eastAsia="Calibri" w:hAnsiTheme="minorHAnsi" w:cstheme="minorHAnsi"/>
                <w:b/>
                <w:bCs/>
              </w:rPr>
              <w:t>Tag – Financial Disincentive</w:t>
            </w:r>
          </w:p>
        </w:tc>
      </w:tr>
      <w:tr w:rsidR="00662A08" w14:paraId="3A97FE5E" w14:textId="77777777" w:rsidTr="00875A66">
        <w:tc>
          <w:tcPr>
            <w:tcW w:w="3365" w:type="dxa"/>
            <w:vMerge/>
          </w:tcPr>
          <w:p w14:paraId="5C2EC812" w14:textId="77777777" w:rsidR="00662A08" w:rsidRDefault="00662A08" w:rsidP="00875A66">
            <w:pPr>
              <w:spacing w:after="200" w:line="276" w:lineRule="auto"/>
              <w:jc w:val="both"/>
              <w:rPr>
                <w:rFonts w:asciiTheme="minorHAnsi" w:eastAsia="Calibri" w:hAnsiTheme="minorHAnsi" w:cstheme="minorHAnsi"/>
                <w:b/>
                <w:bCs/>
              </w:rPr>
            </w:pPr>
          </w:p>
        </w:tc>
        <w:tc>
          <w:tcPr>
            <w:tcW w:w="3365" w:type="dxa"/>
          </w:tcPr>
          <w:p w14:paraId="09BE3DBF" w14:textId="77777777" w:rsidR="00662A08" w:rsidRDefault="00662A08" w:rsidP="00875A66">
            <w:pPr>
              <w:spacing w:after="200" w:line="276" w:lineRule="auto"/>
              <w:jc w:val="both"/>
              <w:rPr>
                <w:rFonts w:asciiTheme="minorHAnsi" w:eastAsia="Calibri" w:hAnsiTheme="minorHAnsi" w:cstheme="minorHAnsi"/>
                <w:b/>
                <w:bCs/>
              </w:rPr>
            </w:pPr>
            <w:r w:rsidRPr="00601151">
              <w:rPr>
                <w:rFonts w:asciiTheme="minorHAnsi" w:eastAsia="Calibri" w:hAnsiTheme="minorHAnsi" w:cstheme="minorHAnsi"/>
                <w:b/>
                <w:bCs/>
              </w:rPr>
              <w:t>Non QSB Trading Members</w:t>
            </w:r>
          </w:p>
        </w:tc>
        <w:tc>
          <w:tcPr>
            <w:tcW w:w="3366" w:type="dxa"/>
          </w:tcPr>
          <w:p w14:paraId="62538EBE" w14:textId="77777777" w:rsidR="00662A08" w:rsidRDefault="00662A08" w:rsidP="00875A66">
            <w:pPr>
              <w:spacing w:after="200" w:line="276" w:lineRule="auto"/>
              <w:jc w:val="both"/>
              <w:rPr>
                <w:rFonts w:asciiTheme="minorHAnsi" w:eastAsia="Calibri" w:hAnsiTheme="minorHAnsi" w:cstheme="minorHAnsi"/>
                <w:b/>
                <w:bCs/>
              </w:rPr>
            </w:pPr>
            <w:r w:rsidRPr="00601151">
              <w:rPr>
                <w:rFonts w:asciiTheme="minorHAnsi" w:eastAsia="Calibri" w:hAnsiTheme="minorHAnsi" w:cstheme="minorHAnsi"/>
                <w:b/>
                <w:bCs/>
              </w:rPr>
              <w:t>QSB Trading Members</w:t>
            </w:r>
          </w:p>
        </w:tc>
      </w:tr>
      <w:tr w:rsidR="00662A08" w14:paraId="457BC906" w14:textId="77777777" w:rsidTr="00875A66">
        <w:tc>
          <w:tcPr>
            <w:tcW w:w="3365" w:type="dxa"/>
          </w:tcPr>
          <w:p w14:paraId="740632D6" w14:textId="77777777" w:rsidR="00662A08" w:rsidRDefault="00662A08" w:rsidP="00875A66">
            <w:pPr>
              <w:spacing w:after="200" w:line="276" w:lineRule="auto"/>
              <w:jc w:val="both"/>
              <w:rPr>
                <w:rFonts w:asciiTheme="minorHAnsi" w:eastAsia="Calibri" w:hAnsiTheme="minorHAnsi" w:cstheme="minorHAnsi"/>
                <w:b/>
                <w:bCs/>
              </w:rPr>
            </w:pPr>
            <w:r>
              <w:rPr>
                <w:rFonts w:asciiTheme="minorHAnsi" w:eastAsia="Calibri" w:hAnsiTheme="minorHAnsi" w:cstheme="minorHAnsi"/>
                <w:b/>
                <w:bCs/>
              </w:rPr>
              <w:t>High Risk</w:t>
            </w:r>
          </w:p>
        </w:tc>
        <w:tc>
          <w:tcPr>
            <w:tcW w:w="3365" w:type="dxa"/>
          </w:tcPr>
          <w:p w14:paraId="2CD94204"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 50,000</w:t>
            </w:r>
          </w:p>
        </w:tc>
        <w:tc>
          <w:tcPr>
            <w:tcW w:w="3366" w:type="dxa"/>
          </w:tcPr>
          <w:p w14:paraId="25C65A1D"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₹100,000</w:t>
            </w:r>
          </w:p>
        </w:tc>
      </w:tr>
      <w:tr w:rsidR="00662A08" w14:paraId="7C094F63" w14:textId="77777777" w:rsidTr="00875A66">
        <w:tc>
          <w:tcPr>
            <w:tcW w:w="3365" w:type="dxa"/>
          </w:tcPr>
          <w:p w14:paraId="38DBD7C0" w14:textId="77777777" w:rsidR="00662A08" w:rsidRDefault="00662A08" w:rsidP="00875A66">
            <w:pPr>
              <w:spacing w:after="200" w:line="276" w:lineRule="auto"/>
              <w:jc w:val="both"/>
              <w:rPr>
                <w:rFonts w:asciiTheme="minorHAnsi" w:eastAsia="Calibri" w:hAnsiTheme="minorHAnsi" w:cstheme="minorHAnsi"/>
                <w:b/>
                <w:bCs/>
              </w:rPr>
            </w:pPr>
            <w:r>
              <w:rPr>
                <w:rFonts w:asciiTheme="minorHAnsi" w:eastAsia="Calibri" w:hAnsiTheme="minorHAnsi" w:cstheme="minorHAnsi"/>
                <w:b/>
                <w:bCs/>
              </w:rPr>
              <w:t>Medium Risk</w:t>
            </w:r>
          </w:p>
        </w:tc>
        <w:tc>
          <w:tcPr>
            <w:tcW w:w="3365" w:type="dxa"/>
          </w:tcPr>
          <w:p w14:paraId="64F0C228"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₹25,000</w:t>
            </w:r>
          </w:p>
        </w:tc>
        <w:tc>
          <w:tcPr>
            <w:tcW w:w="3366" w:type="dxa"/>
          </w:tcPr>
          <w:p w14:paraId="03555778"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₹50,000</w:t>
            </w:r>
          </w:p>
        </w:tc>
      </w:tr>
      <w:tr w:rsidR="00662A08" w14:paraId="3103BD07" w14:textId="77777777" w:rsidTr="00875A66">
        <w:tc>
          <w:tcPr>
            <w:tcW w:w="3365" w:type="dxa"/>
          </w:tcPr>
          <w:p w14:paraId="0C377D09" w14:textId="77777777" w:rsidR="00662A08" w:rsidRDefault="00662A08" w:rsidP="00875A66">
            <w:pPr>
              <w:spacing w:after="200" w:line="276" w:lineRule="auto"/>
              <w:jc w:val="both"/>
              <w:rPr>
                <w:rFonts w:asciiTheme="minorHAnsi" w:eastAsia="Calibri" w:hAnsiTheme="minorHAnsi" w:cstheme="minorHAnsi"/>
                <w:b/>
                <w:bCs/>
              </w:rPr>
            </w:pPr>
            <w:r>
              <w:rPr>
                <w:rFonts w:asciiTheme="minorHAnsi" w:eastAsia="Calibri" w:hAnsiTheme="minorHAnsi" w:cstheme="minorHAnsi"/>
                <w:b/>
                <w:bCs/>
              </w:rPr>
              <w:t>Low Risk</w:t>
            </w:r>
          </w:p>
        </w:tc>
        <w:tc>
          <w:tcPr>
            <w:tcW w:w="3365" w:type="dxa"/>
          </w:tcPr>
          <w:p w14:paraId="47C4743F"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₹5,000</w:t>
            </w:r>
          </w:p>
        </w:tc>
        <w:tc>
          <w:tcPr>
            <w:tcW w:w="3366" w:type="dxa"/>
          </w:tcPr>
          <w:p w14:paraId="56AC74A5" w14:textId="77777777" w:rsidR="00662A08" w:rsidRPr="00601151" w:rsidRDefault="00662A08" w:rsidP="00875A66">
            <w:pPr>
              <w:spacing w:after="200" w:line="276" w:lineRule="auto"/>
              <w:jc w:val="center"/>
              <w:rPr>
                <w:rFonts w:asciiTheme="minorHAnsi" w:eastAsia="Calibri" w:hAnsiTheme="minorHAnsi" w:cstheme="minorHAnsi"/>
              </w:rPr>
            </w:pPr>
            <w:r w:rsidRPr="00601151">
              <w:rPr>
                <w:rFonts w:asciiTheme="minorHAnsi" w:eastAsia="Calibri" w:hAnsiTheme="minorHAnsi" w:cstheme="minorHAnsi"/>
              </w:rPr>
              <w:t>₹10,000</w:t>
            </w:r>
          </w:p>
        </w:tc>
      </w:tr>
      <w:tr w:rsidR="00662A08" w14:paraId="104C94AF" w14:textId="77777777" w:rsidTr="00875A66">
        <w:tc>
          <w:tcPr>
            <w:tcW w:w="10096" w:type="dxa"/>
            <w:gridSpan w:val="3"/>
          </w:tcPr>
          <w:p w14:paraId="77777C46" w14:textId="77777777" w:rsidR="00662A08" w:rsidRPr="00601151" w:rsidRDefault="00662A08" w:rsidP="00875A66">
            <w:pPr>
              <w:spacing w:after="200" w:line="276" w:lineRule="auto"/>
              <w:rPr>
                <w:rFonts w:asciiTheme="minorHAnsi" w:eastAsia="Calibri" w:hAnsiTheme="minorHAnsi" w:cstheme="minorHAnsi"/>
              </w:rPr>
            </w:pPr>
            <w:r w:rsidRPr="00601151">
              <w:rPr>
                <w:rFonts w:asciiTheme="minorHAnsi" w:eastAsia="Calibri" w:hAnsiTheme="minorHAnsi" w:cstheme="minorHAnsi"/>
              </w:rPr>
              <w:t>In case observations are not closed by Trading Members within three weeks from the due date for</w:t>
            </w:r>
            <w:r w:rsidRPr="00601151">
              <w:rPr>
                <w:rFonts w:asciiTheme="minorHAnsi" w:eastAsia="Calibri" w:hAnsiTheme="minorHAnsi" w:cstheme="minorHAnsi"/>
                <w:b/>
                <w:bCs/>
              </w:rPr>
              <w:t xml:space="preserve"> </w:t>
            </w:r>
            <w:r w:rsidRPr="00601151">
              <w:rPr>
                <w:rFonts w:asciiTheme="minorHAnsi" w:eastAsia="Calibri" w:hAnsiTheme="minorHAnsi" w:cstheme="minorHAnsi"/>
              </w:rPr>
              <w:t>submission of Action Taken Report (ATR), new client registration to be prohibited and notice of 7 days for disablement of trading facility till closure of observation(s).</w:t>
            </w:r>
          </w:p>
          <w:p w14:paraId="738A00C6" w14:textId="15DBD18A" w:rsidR="00662A08" w:rsidRPr="00C67280" w:rsidRDefault="00662A08" w:rsidP="00875A66">
            <w:pPr>
              <w:spacing w:after="200" w:line="276" w:lineRule="auto"/>
              <w:rPr>
                <w:rFonts w:asciiTheme="minorHAnsi" w:eastAsia="Calibri" w:hAnsiTheme="minorHAnsi" w:cstheme="minorHAnsi"/>
              </w:rPr>
            </w:pPr>
            <w:r w:rsidRPr="00601151">
              <w:rPr>
                <w:rFonts w:asciiTheme="minorHAnsi" w:eastAsia="Calibri" w:hAnsiTheme="minorHAnsi" w:cstheme="minorHAnsi"/>
              </w:rPr>
              <w:t>The disablement notice issued to the Trading Member shall be shared with all the Exchanges for information. In case of non-closure of observation(s) within four weeks from the due date of submission of ATR, Trading Member shall be disabled in all segments until closure of</w:t>
            </w:r>
            <w:r w:rsidR="00C67280">
              <w:rPr>
                <w:rFonts w:asciiTheme="minorHAnsi" w:eastAsia="Calibri" w:hAnsiTheme="minorHAnsi" w:cstheme="minorHAnsi"/>
              </w:rPr>
              <w:t xml:space="preserve"> </w:t>
            </w:r>
            <w:r w:rsidRPr="00601151">
              <w:rPr>
                <w:rFonts w:asciiTheme="minorHAnsi" w:eastAsia="Calibri" w:hAnsiTheme="minorHAnsi" w:cstheme="minorHAnsi"/>
              </w:rPr>
              <w:t>observations(s).</w:t>
            </w:r>
          </w:p>
        </w:tc>
      </w:tr>
    </w:tbl>
    <w:p w14:paraId="64F0AEA6" w14:textId="77777777" w:rsidR="00662A08" w:rsidRPr="00DA1F76" w:rsidRDefault="00662A08" w:rsidP="00662A08">
      <w:pPr>
        <w:spacing w:after="200" w:line="276" w:lineRule="auto"/>
        <w:jc w:val="both"/>
        <w:rPr>
          <w:rFonts w:asciiTheme="minorHAnsi" w:eastAsia="Calibri" w:hAnsiTheme="minorHAnsi" w:cstheme="minorHAnsi"/>
          <w:b/>
          <w:bCs/>
          <w:sz w:val="22"/>
          <w:szCs w:val="22"/>
        </w:rPr>
      </w:pPr>
    </w:p>
    <w:p w14:paraId="505B04C8" w14:textId="77777777" w:rsidR="00006646" w:rsidRDefault="00006646"/>
    <w:sectPr w:rsidR="00006646" w:rsidSect="00662A08">
      <w:headerReference w:type="default" r:id="rId6"/>
      <w:footerReference w:type="default" r:id="rId7"/>
      <w:headerReference w:type="first" r:id="rId8"/>
      <w:footerReference w:type="first" r:id="rId9"/>
      <w:pgSz w:w="11906" w:h="17338"/>
      <w:pgMar w:top="1400" w:right="900" w:bottom="676" w:left="900" w:header="283"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40F8" w14:textId="77777777" w:rsidR="007F67AB" w:rsidRDefault="007F67AB">
      <w:r>
        <w:separator/>
      </w:r>
    </w:p>
  </w:endnote>
  <w:endnote w:type="continuationSeparator" w:id="0">
    <w:p w14:paraId="2F3D7F3F" w14:textId="77777777" w:rsidR="007F67AB" w:rsidRDefault="007F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205755"/>
      <w:docPartObj>
        <w:docPartGallery w:val="Page Numbers (Bottom of Page)"/>
        <w:docPartUnique/>
      </w:docPartObj>
    </w:sdtPr>
    <w:sdtEndPr>
      <w:rPr>
        <w:color w:val="7F7F7F" w:themeColor="background1" w:themeShade="7F"/>
        <w:spacing w:val="60"/>
      </w:rPr>
    </w:sdtEndPr>
    <w:sdtContent>
      <w:p w14:paraId="2B6AF448" w14:textId="77777777" w:rsidR="00662A08" w:rsidRDefault="00662A08" w:rsidP="008A3CB9">
        <w:pPr>
          <w:pStyle w:val="Footer"/>
          <w:pBdr>
            <w:top w:val="single" w:sz="4" w:space="1" w:color="D9D9D9" w:themeColor="background1" w:themeShade="D9"/>
          </w:pBdr>
          <w:jc w:val="right"/>
          <w:rPr>
            <w:b/>
            <w:bCs/>
          </w:rPr>
        </w:pPr>
        <w:r>
          <w:rPr>
            <w:noProof/>
            <w:lang w:val="en-IN" w:eastAsia="en-IN"/>
          </w:rPr>
          <w:drawing>
            <wp:inline distT="0" distB="0" distL="0" distR="0" wp14:anchorId="7DE99D02" wp14:editId="0639466C">
              <wp:extent cx="6281420" cy="540385"/>
              <wp:effectExtent l="0" t="0" r="5080" b="0"/>
              <wp:docPr id="1" name="Picture 1" descr="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 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1420" cy="540385"/>
                      </a:xfrm>
                      <a:prstGeom prst="rect">
                        <a:avLst/>
                      </a:prstGeom>
                      <a:noFill/>
                      <a:ln>
                        <a:noFill/>
                      </a:ln>
                    </pic:spPr>
                  </pic:pic>
                </a:graphicData>
              </a:graphic>
            </wp:inline>
          </w:drawing>
        </w:r>
      </w:p>
    </w:sdtContent>
  </w:sdt>
  <w:p w14:paraId="412A2887" w14:textId="77777777" w:rsidR="00662A08" w:rsidRDefault="0066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30B6" w14:textId="77777777" w:rsidR="00662A08" w:rsidRDefault="00662A08" w:rsidP="005A0900">
    <w:pPr>
      <w:jc w:val="center"/>
      <w:rPr>
        <w:rFonts w:ascii="Century Gothic" w:hAnsi="Century Gothic"/>
        <w:b/>
        <w:sz w:val="18"/>
        <w:szCs w:val="18"/>
      </w:rPr>
    </w:pPr>
  </w:p>
  <w:p w14:paraId="241C6C98" w14:textId="77777777" w:rsidR="00662A08" w:rsidRPr="00046716" w:rsidRDefault="00662A08" w:rsidP="005A0900">
    <w:pPr>
      <w:jc w:val="center"/>
      <w:rPr>
        <w:rFonts w:ascii="Century Gothic" w:hAnsi="Century Gothic"/>
        <w:b/>
        <w:sz w:val="15"/>
        <w:szCs w:val="15"/>
      </w:rPr>
    </w:pPr>
    <w:r>
      <w:rPr>
        <w:noProof/>
        <w:lang w:val="en-IN" w:eastAsia="en-IN"/>
      </w:rPr>
      <w:drawing>
        <wp:inline distT="0" distB="0" distL="0" distR="0" wp14:anchorId="258138D9" wp14:editId="696E93C1">
          <wp:extent cx="6281420" cy="540385"/>
          <wp:effectExtent l="0" t="0" r="5080" b="0"/>
          <wp:docPr id="446404814" name="Picture 446404814" descr="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 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1420" cy="540385"/>
                  </a:xfrm>
                  <a:prstGeom prst="rect">
                    <a:avLst/>
                  </a:prstGeom>
                  <a:noFill/>
                  <a:ln>
                    <a:noFill/>
                  </a:ln>
                </pic:spPr>
              </pic:pic>
            </a:graphicData>
          </a:graphic>
        </wp:inline>
      </w:drawing>
    </w:r>
    <w:r>
      <w:rPr>
        <w:rFonts w:ascii="Century Gothic" w:hAnsi="Century Gothic"/>
        <w:b/>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C96D9" w14:textId="77777777" w:rsidR="007F67AB" w:rsidRDefault="007F67AB">
      <w:r>
        <w:separator/>
      </w:r>
    </w:p>
  </w:footnote>
  <w:footnote w:type="continuationSeparator" w:id="0">
    <w:p w14:paraId="700221C1" w14:textId="77777777" w:rsidR="007F67AB" w:rsidRDefault="007F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158A" w14:textId="77777777" w:rsidR="00662A08" w:rsidRDefault="00662A08" w:rsidP="005A0900">
    <w:pPr>
      <w:pStyle w:val="Header"/>
      <w:jc w:val="center"/>
    </w:pPr>
    <w:r>
      <w:rPr>
        <w:noProof/>
        <w:lang w:val="en-IN" w:eastAsia="en-IN"/>
      </w:rPr>
      <w:drawing>
        <wp:inline distT="0" distB="0" distL="0" distR="0" wp14:anchorId="795FD25D" wp14:editId="6C1637E3">
          <wp:extent cx="1987550" cy="890270"/>
          <wp:effectExtent l="0" t="0" r="0" b="5080"/>
          <wp:docPr id="411785728" name="Picture 411785728" descr="M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550" cy="89027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57E7" w14:textId="77777777" w:rsidR="00662A08" w:rsidRDefault="00662A08" w:rsidP="005A0900">
    <w:pPr>
      <w:pStyle w:val="Header"/>
      <w:jc w:val="center"/>
    </w:pPr>
    <w:r>
      <w:rPr>
        <w:noProof/>
        <w:lang w:val="en-IN" w:eastAsia="en-IN"/>
      </w:rPr>
      <w:drawing>
        <wp:inline distT="0" distB="0" distL="0" distR="0" wp14:anchorId="10E2FF47" wp14:editId="6F68129E">
          <wp:extent cx="1987550" cy="890270"/>
          <wp:effectExtent l="0" t="0" r="0" b="5080"/>
          <wp:docPr id="277365893" name="Picture 277365893" descr="M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550" cy="89027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963"/>
    <w:rsid w:val="00006646"/>
    <w:rsid w:val="000E4DCE"/>
    <w:rsid w:val="00145C95"/>
    <w:rsid w:val="00662A08"/>
    <w:rsid w:val="007F67AB"/>
    <w:rsid w:val="00AB09B3"/>
    <w:rsid w:val="00C0609F"/>
    <w:rsid w:val="00C67280"/>
    <w:rsid w:val="00D219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DAFF"/>
  <w15:chartTrackingRefBased/>
  <w15:docId w15:val="{41A15DBF-69DA-4D9F-AB2B-A04F16CD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A08"/>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D219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D219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D2196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D21963"/>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IN"/>
      <w14:ligatures w14:val="standardContextual"/>
    </w:rPr>
  </w:style>
  <w:style w:type="paragraph" w:styleId="Heading5">
    <w:name w:val="heading 5"/>
    <w:basedOn w:val="Normal"/>
    <w:next w:val="Normal"/>
    <w:link w:val="Heading5Char"/>
    <w:uiPriority w:val="9"/>
    <w:semiHidden/>
    <w:unhideWhenUsed/>
    <w:qFormat/>
    <w:rsid w:val="00D21963"/>
    <w:pPr>
      <w:keepNext/>
      <w:keepLines/>
      <w:spacing w:before="80" w:after="40" w:line="278" w:lineRule="auto"/>
      <w:outlineLvl w:val="4"/>
    </w:pPr>
    <w:rPr>
      <w:rFonts w:asciiTheme="minorHAnsi" w:eastAsiaTheme="majorEastAsia" w:hAnsiTheme="minorHAnsi" w:cstheme="majorBidi"/>
      <w:color w:val="0F4761" w:themeColor="accent1" w:themeShade="BF"/>
      <w:kern w:val="2"/>
      <w:lang w:val="en-IN"/>
      <w14:ligatures w14:val="standardContextual"/>
    </w:rPr>
  </w:style>
  <w:style w:type="paragraph" w:styleId="Heading6">
    <w:name w:val="heading 6"/>
    <w:basedOn w:val="Normal"/>
    <w:next w:val="Normal"/>
    <w:link w:val="Heading6Char"/>
    <w:uiPriority w:val="9"/>
    <w:semiHidden/>
    <w:unhideWhenUsed/>
    <w:qFormat/>
    <w:rsid w:val="00D21963"/>
    <w:pPr>
      <w:keepNext/>
      <w:keepLines/>
      <w:spacing w:before="40" w:line="278" w:lineRule="auto"/>
      <w:outlineLvl w:val="5"/>
    </w:pPr>
    <w:rPr>
      <w:rFonts w:asciiTheme="minorHAnsi" w:eastAsiaTheme="majorEastAsia" w:hAnsiTheme="minorHAnsi" w:cstheme="majorBidi"/>
      <w:i/>
      <w:iCs/>
      <w:color w:val="595959" w:themeColor="text1" w:themeTint="A6"/>
      <w:kern w:val="2"/>
      <w:lang w:val="en-IN"/>
      <w14:ligatures w14:val="standardContextual"/>
    </w:rPr>
  </w:style>
  <w:style w:type="paragraph" w:styleId="Heading7">
    <w:name w:val="heading 7"/>
    <w:basedOn w:val="Normal"/>
    <w:next w:val="Normal"/>
    <w:link w:val="Heading7Char"/>
    <w:uiPriority w:val="9"/>
    <w:semiHidden/>
    <w:unhideWhenUsed/>
    <w:qFormat/>
    <w:rsid w:val="00D21963"/>
    <w:pPr>
      <w:keepNext/>
      <w:keepLines/>
      <w:spacing w:before="40" w:line="278" w:lineRule="auto"/>
      <w:outlineLvl w:val="6"/>
    </w:pPr>
    <w:rPr>
      <w:rFonts w:asciiTheme="minorHAnsi" w:eastAsiaTheme="majorEastAsia" w:hAnsiTheme="minorHAnsi" w:cstheme="majorBidi"/>
      <w:color w:val="595959" w:themeColor="text1" w:themeTint="A6"/>
      <w:kern w:val="2"/>
      <w:lang w:val="en-IN"/>
      <w14:ligatures w14:val="standardContextual"/>
    </w:rPr>
  </w:style>
  <w:style w:type="paragraph" w:styleId="Heading8">
    <w:name w:val="heading 8"/>
    <w:basedOn w:val="Normal"/>
    <w:next w:val="Normal"/>
    <w:link w:val="Heading8Char"/>
    <w:uiPriority w:val="9"/>
    <w:semiHidden/>
    <w:unhideWhenUsed/>
    <w:qFormat/>
    <w:rsid w:val="00D21963"/>
    <w:pPr>
      <w:keepNext/>
      <w:keepLines/>
      <w:spacing w:line="278" w:lineRule="auto"/>
      <w:outlineLvl w:val="7"/>
    </w:pPr>
    <w:rPr>
      <w:rFonts w:asciiTheme="minorHAnsi" w:eastAsiaTheme="majorEastAsia" w:hAnsiTheme="minorHAnsi" w:cstheme="majorBidi"/>
      <w:i/>
      <w:iCs/>
      <w:color w:val="272727" w:themeColor="text1" w:themeTint="D8"/>
      <w:kern w:val="2"/>
      <w:lang w:val="en-IN"/>
      <w14:ligatures w14:val="standardContextual"/>
    </w:rPr>
  </w:style>
  <w:style w:type="paragraph" w:styleId="Heading9">
    <w:name w:val="heading 9"/>
    <w:basedOn w:val="Normal"/>
    <w:next w:val="Normal"/>
    <w:link w:val="Heading9Char"/>
    <w:uiPriority w:val="9"/>
    <w:semiHidden/>
    <w:unhideWhenUsed/>
    <w:qFormat/>
    <w:rsid w:val="00D21963"/>
    <w:pPr>
      <w:keepNext/>
      <w:keepLines/>
      <w:spacing w:line="278" w:lineRule="auto"/>
      <w:outlineLvl w:val="8"/>
    </w:pPr>
    <w:rPr>
      <w:rFonts w:asciiTheme="minorHAnsi" w:eastAsiaTheme="majorEastAsia" w:hAnsiTheme="minorHAnsi" w:cstheme="majorBidi"/>
      <w:color w:val="272727" w:themeColor="text1" w:themeTint="D8"/>
      <w:kern w:val="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9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19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19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19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19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19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19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19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1963"/>
    <w:rPr>
      <w:rFonts w:eastAsiaTheme="majorEastAsia" w:cstheme="majorBidi"/>
      <w:color w:val="272727" w:themeColor="text1" w:themeTint="D8"/>
    </w:rPr>
  </w:style>
  <w:style w:type="paragraph" w:styleId="Title">
    <w:name w:val="Title"/>
    <w:basedOn w:val="Normal"/>
    <w:next w:val="Normal"/>
    <w:link w:val="TitleChar"/>
    <w:uiPriority w:val="10"/>
    <w:qFormat/>
    <w:rsid w:val="00D21963"/>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D219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196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D219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1963"/>
    <w:pPr>
      <w:spacing w:before="160" w:after="160" w:line="278"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D21963"/>
    <w:rPr>
      <w:i/>
      <w:iCs/>
      <w:color w:val="404040" w:themeColor="text1" w:themeTint="BF"/>
    </w:rPr>
  </w:style>
  <w:style w:type="paragraph" w:styleId="ListParagraph">
    <w:name w:val="List Paragraph"/>
    <w:basedOn w:val="Normal"/>
    <w:uiPriority w:val="34"/>
    <w:qFormat/>
    <w:rsid w:val="00D21963"/>
    <w:pPr>
      <w:spacing w:after="160" w:line="278" w:lineRule="auto"/>
      <w:ind w:left="720"/>
      <w:contextualSpacing/>
    </w:pPr>
    <w:rPr>
      <w:rFonts w:asciiTheme="minorHAnsi" w:eastAsiaTheme="minorHAnsi" w:hAnsiTheme="minorHAnsi" w:cstheme="minorBidi"/>
      <w:kern w:val="2"/>
      <w:lang w:val="en-IN"/>
      <w14:ligatures w14:val="standardContextual"/>
    </w:rPr>
  </w:style>
  <w:style w:type="character" w:styleId="IntenseEmphasis">
    <w:name w:val="Intense Emphasis"/>
    <w:basedOn w:val="DefaultParagraphFont"/>
    <w:uiPriority w:val="21"/>
    <w:qFormat/>
    <w:rsid w:val="00D21963"/>
    <w:rPr>
      <w:i/>
      <w:iCs/>
      <w:color w:val="0F4761" w:themeColor="accent1" w:themeShade="BF"/>
    </w:rPr>
  </w:style>
  <w:style w:type="paragraph" w:styleId="IntenseQuote">
    <w:name w:val="Intense Quote"/>
    <w:basedOn w:val="Normal"/>
    <w:next w:val="Normal"/>
    <w:link w:val="IntenseQuoteChar"/>
    <w:uiPriority w:val="30"/>
    <w:qFormat/>
    <w:rsid w:val="00D219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IN"/>
      <w14:ligatures w14:val="standardContextual"/>
    </w:rPr>
  </w:style>
  <w:style w:type="character" w:customStyle="1" w:styleId="IntenseQuoteChar">
    <w:name w:val="Intense Quote Char"/>
    <w:basedOn w:val="DefaultParagraphFont"/>
    <w:link w:val="IntenseQuote"/>
    <w:uiPriority w:val="30"/>
    <w:rsid w:val="00D21963"/>
    <w:rPr>
      <w:i/>
      <w:iCs/>
      <w:color w:val="0F4761" w:themeColor="accent1" w:themeShade="BF"/>
    </w:rPr>
  </w:style>
  <w:style w:type="character" w:styleId="IntenseReference">
    <w:name w:val="Intense Reference"/>
    <w:basedOn w:val="DefaultParagraphFont"/>
    <w:uiPriority w:val="32"/>
    <w:qFormat/>
    <w:rsid w:val="00D21963"/>
    <w:rPr>
      <w:b/>
      <w:bCs/>
      <w:smallCaps/>
      <w:color w:val="0F4761" w:themeColor="accent1" w:themeShade="BF"/>
      <w:spacing w:val="5"/>
    </w:rPr>
  </w:style>
  <w:style w:type="paragraph" w:styleId="Header">
    <w:name w:val="header"/>
    <w:basedOn w:val="Normal"/>
    <w:link w:val="HeaderChar"/>
    <w:uiPriority w:val="99"/>
    <w:rsid w:val="00662A08"/>
    <w:pPr>
      <w:tabs>
        <w:tab w:val="center" w:pos="4320"/>
        <w:tab w:val="right" w:pos="8640"/>
      </w:tabs>
    </w:pPr>
  </w:style>
  <w:style w:type="character" w:customStyle="1" w:styleId="HeaderChar">
    <w:name w:val="Header Char"/>
    <w:basedOn w:val="DefaultParagraphFont"/>
    <w:link w:val="Header"/>
    <w:uiPriority w:val="99"/>
    <w:rsid w:val="00662A08"/>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662A08"/>
    <w:pPr>
      <w:tabs>
        <w:tab w:val="center" w:pos="4680"/>
        <w:tab w:val="right" w:pos="9360"/>
      </w:tabs>
    </w:pPr>
  </w:style>
  <w:style w:type="character" w:customStyle="1" w:styleId="FooterChar">
    <w:name w:val="Footer Char"/>
    <w:basedOn w:val="DefaultParagraphFont"/>
    <w:link w:val="Footer"/>
    <w:uiPriority w:val="99"/>
    <w:rsid w:val="00662A08"/>
    <w:rPr>
      <w:rFonts w:ascii="Times New Roman" w:eastAsia="Times New Roman" w:hAnsi="Times New Roman" w:cs="Times New Roman"/>
      <w:kern w:val="0"/>
      <w:lang w:val="en-US"/>
      <w14:ligatures w14:val="none"/>
    </w:rPr>
  </w:style>
  <w:style w:type="table" w:styleId="TableGrid">
    <w:name w:val="Table Grid"/>
    <w:basedOn w:val="TableNormal"/>
    <w:uiPriority w:val="59"/>
    <w:rsid w:val="00662A08"/>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Supragya Chauhan/MSE/Regulatory Services</dc:creator>
  <cp:keywords/>
  <dc:description/>
  <cp:lastModifiedBy>Sunil Shendge/MSE/Regulatory Services</cp:lastModifiedBy>
  <cp:revision>4</cp:revision>
  <dcterms:created xsi:type="dcterms:W3CDTF">2025-11-13T09:36:00Z</dcterms:created>
  <dcterms:modified xsi:type="dcterms:W3CDTF">2025-11-13T14:36:00Z</dcterms:modified>
</cp:coreProperties>
</file>